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 xml:space="preserve">This document is provided for information purposes only and on the basis that each recipient of this document (a “Recipient”) and such Recipient’s directors, officers and employees keep it and the existence of the Transaction confidential. This document is only being made available to persons who have signed and returned a confidentiality agreement (each, a “Confidentiality Agreement”) and each Recipient agrees to keep this document, and any information made available to it in connection with the Transaction, confidential. Other than as permitted by the Confidentiality Agreement, neither this document nor any of its contents may be photocopied or reproduced, in whole or in part, or referred to, distributed to, disclosed to or communicated to, in whole or in part, any other person (which expression shall include a reference to a body corporate, association or partnership), or published in whole or in part for any purpose. </w:t>
      </w:r>
    </w:p>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 xml:space="preserve">No person may rely on this document without the prior written consent of the Banks. Nothing in this document shall be taken as constituting the giving of investment advice and this document is not intended to provide, and must not be taken as, the basis of any investment decision regarding the Transaction. This document does not constitute an offer or invitation for the sale or purchase of, or the solicitation of an offer to acquire, the securities, businesses and/or assets of </w:t>
      </w:r>
      <w:r w:rsidR="00CA4DA7">
        <w:rPr>
          <w:rFonts w:ascii="Arial" w:eastAsia="+mn-ea" w:hAnsi="Arial" w:cs="Arial"/>
          <w:color w:val="64789B"/>
          <w:kern w:val="24"/>
          <w:sz w:val="14"/>
          <w:szCs w:val="14"/>
          <w:lang w:val="en-US"/>
        </w:rPr>
        <w:t>______</w:t>
      </w:r>
      <w:bookmarkStart w:id="0" w:name="_GoBack"/>
      <w:bookmarkEnd w:id="0"/>
      <w:r>
        <w:rPr>
          <w:rFonts w:ascii="Arial" w:eastAsia="+mn-ea" w:hAnsi="Arial" w:cs="Arial"/>
          <w:color w:val="64789B"/>
          <w:kern w:val="24"/>
          <w:sz w:val="14"/>
          <w:szCs w:val="14"/>
          <w:lang w:val="en-US"/>
        </w:rPr>
        <w:t xml:space="preserve"> Public Limited (the “Company”) or any other person, whether in relation to the Transaction or otherwise. Neither this document nor anything contained herein shall, nor shall any other oral or written information made available, other than a definitive and binding sale and purchase agreement or other similar such agreement, form the basis of any contract or commitment whatsoever. This document should not be considered as a recommendation on the part of any of the Shareholders or the Banks.</w:t>
      </w:r>
    </w:p>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All information, assumptions, data and results contained in this document, whether express or implied, are based on information (i) provided by or on behalf of the Company to each Bank and/or any other member of each Bank’s Group (which expression shall mean with regard to each Bank, such Bank, together its affiliates, associated companies, subsidiary undertakings and branches) or (ii) which was publicly available (together, “Information”). The accuracy and completeness of such Information has not been independently verified by the Company, the Shareholders, the Banks, any member of any Bank’s Group, any of their respective officers, directors, employees, representatives, advisers and/or agents (together, “Relevant Persons”) or any other person. In preparing this document, each Bank has assumed and relied upon the accuracy and completeness of all Information. None of the Relevant Persons (i) makes or will make any representation or warranty, expressed or implied, in relation to the accuracy, reliability, adequacy or completeness of the Information, this document or any of its contents or the results that can be derived from this document or any other written information or oral information provided in connection therewith or any data that any of them generates; (ii) accepts or will accept any responsibility, liability or obligation (whether in contract, tort or otherwise) in relation to the Information, this document or its contents or any other written information or oral information provided in connection therewith or any data that any of them generates, except to the extent that such responsibility, liability or obligation cannot be excluded by law; (iii) accepts or will accept any responsibility or liability to any other person in relation to the distribution or possession of this document in any jurisdiction, except to the extent that such responsibility or liability cannot be excluded by law; (iv) assumes or will assume any responsibility or liability to any potential purchaser or any other person for any loss or damage of any kind whatsoever arising as a result of such purchaser’s or such other person’s use or misuse of this document or any of its contents, including, without limitation, any direct, indirect or consequential loss or damage suffered by any person as a result of relying on the accuracy of any information in this document or any errors or omissions in this document; (v) accepts or will accept any responsibility, duty of care or liability for providing the Recipient with access to any additional information, updating this document or any of its contents or for correcting or notifying any person of any inaccuracy in this document or any of its contents or any other written information or oral information provided in connection therewith or any data that any of them generates which may become apparent; or (vi) are under any obligation to consider or accept any offer, irrespective of whether such offer is the only offer or one of a number of offers representing the highest price. No audit of this document has been undertaken by an independent third party. Nothing herein is intended to exclude any liability for, or remedy in respect of, fraudulent misrepresentation.</w:t>
      </w:r>
    </w:p>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 xml:space="preserve">This document does not purport to contain all the information that may be required to evaluate all factors that would be relevant in relation to the Transaction. Any Recipient interested in purchasing securities, businesses and/or assets of the Company and/or any other person is recommended to seek its own independent legal and financial advice. Any decision as to whether or not to purchase the Company’s and/or any other person’s securities, businesses and/or assets should be taken solely by the Recipient. Before entering into such transaction(s), the Recipient should take steps to ensure that it fully understands such transaction(s) and has made an independent assessment of the appropriateness of such transaction(s) in the light of its own objectives and circumstances, including the possible risks and benefits of entering into such transaction(s). No contact shall be made with the Company, the Shareholders, or any of their respective directors, officers or employees, either directly or indirectly, with respect to any of the information contained in this document or with respect to any possible transaction involving the </w:t>
      </w:r>
      <w:proofErr w:type="gramStart"/>
      <w:r>
        <w:rPr>
          <w:rFonts w:ascii="Arial" w:eastAsia="+mn-ea" w:hAnsi="Arial" w:cs="Arial"/>
          <w:color w:val="64789B"/>
          <w:kern w:val="24"/>
          <w:sz w:val="14"/>
          <w:szCs w:val="14"/>
          <w:lang w:val="en-US"/>
        </w:rPr>
        <w:t>Company,</w:t>
      </w:r>
      <w:proofErr w:type="gramEnd"/>
      <w:r>
        <w:rPr>
          <w:rFonts w:ascii="Arial" w:eastAsia="+mn-ea" w:hAnsi="Arial" w:cs="Arial"/>
          <w:color w:val="64789B"/>
          <w:kern w:val="24"/>
          <w:sz w:val="14"/>
          <w:szCs w:val="14"/>
          <w:lang w:val="en-US"/>
        </w:rPr>
        <w:t xml:space="preserve"> and any enquiries must be </w:t>
      </w:r>
      <w:proofErr w:type="spellStart"/>
      <w:r>
        <w:rPr>
          <w:rFonts w:ascii="Arial" w:eastAsia="+mn-ea" w:hAnsi="Arial" w:cs="Arial"/>
          <w:color w:val="64789B"/>
          <w:kern w:val="24"/>
          <w:sz w:val="14"/>
          <w:szCs w:val="14"/>
          <w:lang w:val="en-US"/>
        </w:rPr>
        <w:t>channelled</w:t>
      </w:r>
      <w:proofErr w:type="spellEnd"/>
      <w:r>
        <w:rPr>
          <w:rFonts w:ascii="Arial" w:eastAsia="+mn-ea" w:hAnsi="Arial" w:cs="Arial"/>
          <w:color w:val="64789B"/>
          <w:kern w:val="24"/>
          <w:sz w:val="14"/>
          <w:szCs w:val="14"/>
          <w:lang w:val="en-US"/>
        </w:rPr>
        <w:t xml:space="preserve"> through the Banks. The views expressed in this document are subject to change based upon a number of factors, including, without limitation, market conditions and the Company’s business and prospects, as well as any change to the Banks’ assumptions.</w:t>
      </w:r>
    </w:p>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Each Bank is acting, together with the other Bank, as an exclusive financial adviser to the Shareholders in relation to the Transaction, will not regard any other person (whether a Recipient or not) as a client in relation to the Transaction and will not be responsible to anyone other than the Shareholders for providing the protections afforded to clients of such Bank nor for providing advice to any such other person. Without prejudice to liability for fraud, each member of any Bank’s Group disclaims any liability to any such other person in connection with the Transaction.</w:t>
      </w:r>
    </w:p>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This document is only being made available to interested parties on the basis that: (A) if they are UK persons, they are persons falling within Articles 19 or 49 of the Financial Services and Markets Act 2000 (Financial Promotion) Order 2005; (B) if they are US persons (as defined in Regulation S under the Securities Act of 1933, as amended (the ‘Securities Act’), they are ‘accredited investors’ as defined under Rule 501(a) under the Securities Act who represent that they are participating in the Transaction for their own account for investment purposes only and not with a view to resale, who are willing and able to conduct an independent investigation of the risks of participation in the Transaction and who will be required to represent that they are participating in the Transaction for investment purposes; or (C) they are outside the United Kingdom, are not US persons (as defined in Regulation S) and are eligible under local law to receive this document (all such persons collectively being referred to as ‘Intended Recipients’). Recipients in jurisdictions outside the UK who are not US persons should inform themselves about and observe any applicable legal requirements. By accepting this document you represent and warrant that you are an Intended Recipient. This document must not be acted on or relied upon and should be returned to the Banks by persons who are not Intended Recipients. Any investment or investment activity to which this communication relates is available only to Intended Recipients and will be engaged in only with Intended Recipients.</w:t>
      </w:r>
    </w:p>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 xml:space="preserve">Forward-looking statements - No representation or warranty is given as to the completeness or accuracy of any forward-looking statements contained in this document. These statements include statements regarding, among other things, the Company's results of operation, financial condition, liquidity, prospects, growth, strategies and the industry in which Company operates. The use of the words ‘expects’, ‘intends’, ‘anticipates’, ‘estimates’, ‘may’, ‘forecast’, ‘objective’, ‘plan’ or ‘target’, and other similar expressions are intended to identify forward-looking statements. These forward-looking statements are not guarantees of future performance and are subject to a number of risks and uncertainties. Any statement, estimate and projection included in this document with respect to anticipated future performance may not prove to be correct and should not be relied upon as a promise or representation as to future performance. Important factors that could cause actual results to differ materially from those discussed in such forward-looking statements include but are not limited to: adverse trends in the general economy, business conditions or interest rates; the Company’s ability to anticipate customer requirements; the reputation of the Company and its trading names, together with the success of the Company's marketing and promotional </w:t>
      </w:r>
      <w:proofErr w:type="spellStart"/>
      <w:r>
        <w:rPr>
          <w:rFonts w:ascii="Arial" w:eastAsia="+mn-ea" w:hAnsi="Arial" w:cs="Arial"/>
          <w:color w:val="64789B"/>
          <w:kern w:val="24"/>
          <w:sz w:val="14"/>
          <w:szCs w:val="14"/>
          <w:lang w:val="en-US"/>
        </w:rPr>
        <w:t>programmes</w:t>
      </w:r>
      <w:proofErr w:type="spellEnd"/>
      <w:r>
        <w:rPr>
          <w:rFonts w:ascii="Arial" w:eastAsia="+mn-ea" w:hAnsi="Arial" w:cs="Arial"/>
          <w:color w:val="64789B"/>
          <w:kern w:val="24"/>
          <w:sz w:val="14"/>
          <w:szCs w:val="14"/>
          <w:lang w:val="en-US"/>
        </w:rPr>
        <w:t xml:space="preserve">; the ability to recruit, train and retain staff; and the suitability and reliability of the Company’s systems and procedures, including its information technology. With respect to any financial projections forming part of the Information, each Bank has assumed that they were prepared on bases reflecting the best estimates and </w:t>
      </w:r>
      <w:proofErr w:type="spellStart"/>
      <w:r>
        <w:rPr>
          <w:rFonts w:ascii="Arial" w:eastAsia="+mn-ea" w:hAnsi="Arial" w:cs="Arial"/>
          <w:color w:val="64789B"/>
          <w:kern w:val="24"/>
          <w:sz w:val="14"/>
          <w:szCs w:val="14"/>
          <w:lang w:val="en-US"/>
        </w:rPr>
        <w:t>judgements</w:t>
      </w:r>
      <w:proofErr w:type="spellEnd"/>
      <w:r>
        <w:rPr>
          <w:rFonts w:ascii="Arial" w:eastAsia="+mn-ea" w:hAnsi="Arial" w:cs="Arial"/>
          <w:color w:val="64789B"/>
          <w:kern w:val="24"/>
          <w:sz w:val="14"/>
          <w:szCs w:val="14"/>
          <w:lang w:val="en-US"/>
        </w:rPr>
        <w:t xml:space="preserve"> of the future financial performance of the Company available at the time of their preparation. This document is necessarily based on economic, market and other conditions as in effect on its date, and the Information made available to the Banks as of the date hereof.</w:t>
      </w:r>
    </w:p>
    <w:p w:rsidR="00202320" w:rsidRPr="00202320" w:rsidRDefault="00202320" w:rsidP="00202320">
      <w:pPr>
        <w:pStyle w:val="a5"/>
        <w:spacing w:before="0" w:beforeAutospacing="0" w:after="0" w:afterAutospacing="0"/>
        <w:jc w:val="both"/>
        <w:textAlignment w:val="baseline"/>
        <w:rPr>
          <w:lang w:val="en-US"/>
        </w:rPr>
      </w:pPr>
      <w:r>
        <w:rPr>
          <w:rFonts w:ascii="Arial" w:eastAsia="+mn-ea" w:hAnsi="Arial" w:cs="Arial"/>
          <w:color w:val="64789B"/>
          <w:kern w:val="24"/>
          <w:sz w:val="14"/>
          <w:szCs w:val="14"/>
          <w:lang w:val="en-US"/>
        </w:rPr>
        <w:t xml:space="preserve"> </w:t>
      </w:r>
    </w:p>
    <w:p w:rsidR="00690BF5" w:rsidRPr="00202320" w:rsidRDefault="00690BF5">
      <w:pPr>
        <w:rPr>
          <w:lang w:val="en-US"/>
        </w:rPr>
      </w:pPr>
    </w:p>
    <w:sectPr w:rsidR="00690BF5" w:rsidRPr="00202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20"/>
    <w:rsid w:val="00005A09"/>
    <w:rsid w:val="00013403"/>
    <w:rsid w:val="00175F29"/>
    <w:rsid w:val="0018471A"/>
    <w:rsid w:val="00202320"/>
    <w:rsid w:val="0022595C"/>
    <w:rsid w:val="002466FA"/>
    <w:rsid w:val="00263812"/>
    <w:rsid w:val="002A14D0"/>
    <w:rsid w:val="003914CD"/>
    <w:rsid w:val="003E7A4B"/>
    <w:rsid w:val="00491919"/>
    <w:rsid w:val="004C5790"/>
    <w:rsid w:val="00670985"/>
    <w:rsid w:val="00690BF5"/>
    <w:rsid w:val="006C0D7A"/>
    <w:rsid w:val="007B1EA3"/>
    <w:rsid w:val="008A7DAD"/>
    <w:rsid w:val="00977BFA"/>
    <w:rsid w:val="00A71AEA"/>
    <w:rsid w:val="00B14BD0"/>
    <w:rsid w:val="00B777D3"/>
    <w:rsid w:val="00CA4DA7"/>
    <w:rsid w:val="00CF443C"/>
    <w:rsid w:val="00D35E52"/>
    <w:rsid w:val="00DE6801"/>
    <w:rsid w:val="00E44C0F"/>
    <w:rsid w:val="00E818CF"/>
    <w:rsid w:val="00EA16A1"/>
    <w:rsid w:val="00EB1EAA"/>
    <w:rsid w:val="00ED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320"/>
    <w:rPr>
      <w:rFonts w:ascii="Tahoma" w:hAnsi="Tahoma" w:cs="Tahoma"/>
      <w:sz w:val="16"/>
      <w:szCs w:val="16"/>
    </w:rPr>
  </w:style>
  <w:style w:type="paragraph" w:styleId="a5">
    <w:name w:val="Normal (Web)"/>
    <w:basedOn w:val="a"/>
    <w:uiPriority w:val="99"/>
    <w:semiHidden/>
    <w:unhideWhenUsed/>
    <w:rsid w:val="00202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320"/>
    <w:rPr>
      <w:rFonts w:ascii="Tahoma" w:hAnsi="Tahoma" w:cs="Tahoma"/>
      <w:sz w:val="16"/>
      <w:szCs w:val="16"/>
    </w:rPr>
  </w:style>
  <w:style w:type="paragraph" w:styleId="a5">
    <w:name w:val="Normal (Web)"/>
    <w:basedOn w:val="a"/>
    <w:uiPriority w:val="99"/>
    <w:semiHidden/>
    <w:unhideWhenUsed/>
    <w:rsid w:val="00202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Cherkasov</dc:creator>
  <cp:lastModifiedBy>Mikhail Cherkasov</cp:lastModifiedBy>
  <cp:revision>2</cp:revision>
  <dcterms:created xsi:type="dcterms:W3CDTF">2012-01-28T14:49:00Z</dcterms:created>
  <dcterms:modified xsi:type="dcterms:W3CDTF">2012-01-28T14:52:00Z</dcterms:modified>
</cp:coreProperties>
</file>